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t xml:space="preserve"/>
      </w:r>
    </w:p>
    <w:p>
      <w:pPr>
        <w:spacing w:after="60" w:before="0"/>
        <w:jc w:val="center"/>
      </w:pPr>
      <w:r>
        <w:rPr>
          <w:rFonts w:ascii="Arial" w:cs="Arial" w:eastAsia="Arial" w:hAnsi="Arial"/>
          <w:b/>
          <w:bCs/>
          <w:caps/>
          <w:color w:val="555555"/>
          <w:sz w:val="18"/>
          <w:szCs w:val="18"/>
        </w:rPr>
        <w:t xml:space="preserve">PÉTITION OFFICIELLE AU PARLEMENT BELGE</w:t>
      </w:r>
    </w:p>
    <w:p>
      <w:pPr>
        <w:spacing w:after="40" w:before="0"/>
        <w:jc w:val="center"/>
      </w:pPr>
      <w:r>
        <w:rPr>
          <w:rFonts w:ascii="Arial" w:cs="Arial" w:eastAsia="Arial" w:hAnsi="Arial"/>
          <w:color w:val="555555"/>
          <w:sz w:val="18"/>
          <w:szCs w:val="18"/>
        </w:rPr>
        <w:t xml:space="preserve">Article 28 de la Constitution belge  ·  Article 142 du Règlement de la Chambre des représentants</w:t>
      </w:r>
    </w:p>
    <w:p>
      <w:pPr>
        <w:pBdr>
          <w:bottom w:val="single" w:color="C9A84C" w:sz="8" w:space="1"/>
        </w:pBdr>
        <w:spacing w:after="80" w:before="80"/>
      </w:pPr>
    </w:p>
    <w:p>
      <w:pPr>
        <w:spacing w:after="0" w:before="120"/>
      </w:pPr>
      <w:r>
        <w:t xml:space="preserve"/>
      </w:r>
    </w:p>
    <w:p>
      <w:pPr>
        <w:spacing w:after="120" w:before="200"/>
        <w:jc w:val="center"/>
      </w:pPr>
      <w:r>
        <w:rPr>
          <w:rFonts w:ascii="Arial" w:cs="Arial" w:eastAsia="Arial" w:hAnsi="Arial"/>
          <w:b/>
          <w:bCs/>
          <w:color w:val="1A3A5C"/>
          <w:sz w:val="34"/>
          <w:szCs w:val="34"/>
        </w:rPr>
        <w:t xml:space="preserve">POUR LA TRANSPARENCE EN PHARMACOVIGILANCE</w:t>
      </w:r>
    </w:p>
    <w:p>
      <w:pPr>
        <w:spacing w:after="200" w:before="0"/>
        <w:jc w:val="center"/>
      </w:pPr>
      <w:r>
        <w:rPr>
          <w:rFonts w:ascii="Arial" w:cs="Arial" w:eastAsia="Arial" w:hAnsi="Arial"/>
          <w:b/>
          <w:bCs/>
          <w:caps/>
          <w:color w:val="B8860B"/>
          <w:sz w:val="22"/>
          <w:szCs w:val="22"/>
        </w:rPr>
        <w:t xml:space="preserve">Publication des données belges sur les effets indésirables des vaccins COVID-19</w:t>
      </w:r>
    </w:p>
    <w:p>
      <w:pPr>
        <w:spacing w:after="160" w:before="0"/>
        <w:jc w:val="center"/>
      </w:pPr>
      <w:r>
        <w:rPr>
          <w:rFonts w:ascii="Arial" w:cs="Arial" w:eastAsia="Arial" w:hAnsi="Arial"/>
          <w:color w:val="555555"/>
          <w:sz w:val="20"/>
          <w:szCs w:val="20"/>
        </w:rPr>
        <w:t xml:space="preserve">Initiative documentaire — </w:t>
      </w:r>
      <w:r>
        <w:rPr>
          <w:rFonts w:ascii="Arial" w:cs="Arial" w:eastAsia="Arial" w:hAnsi="Arial"/>
          <w:b/>
          <w:bCs/>
          <w:color w:val="1A3A5C"/>
          <w:sz w:val="20"/>
          <w:szCs w:val="20"/>
        </w:rPr>
        <w:t xml:space="preserve">Le Droit des Faits</w:t>
      </w:r>
      <w:r>
        <w:rPr>
          <w:rFonts w:ascii="Arial" w:cs="Arial" w:eastAsia="Arial" w:hAnsi="Arial"/>
          <w:color w:val="555555"/>
          <w:sz w:val="20"/>
          <w:szCs w:val="20"/>
        </w:rPr>
        <w:t xml:space="preserve">  ·  ledroitdesfaits.org</w:t>
      </w:r>
    </w:p>
    <w:p>
      <w:pPr>
        <w:pBdr>
          <w:bottom w:val="single" w:color="CCCCCC" w:sz="2" w:space="1"/>
        </w:pBdr>
        <w:spacing w:after="80" w:before="80"/>
      </w:pPr>
    </w:p>
    <w:p>
      <w:pPr>
        <w:spacing w:after="0" w:before="80"/>
      </w:pPr>
      <w:r>
        <w:t xml:space="preserve"/>
      </w:r>
    </w:p>
    <w:p>
      <w:pPr>
        <w:pBdr>
          <w:bottom w:val="single" w:color="B8860B" w:sz="4" w:space="1"/>
        </w:pBdr>
        <w:spacing w:after="100" w:before="280"/>
      </w:pPr>
      <w:r>
        <w:rPr>
          <w:rFonts w:ascii="Arial" w:cs="Arial" w:eastAsia="Arial" w:hAnsi="Arial"/>
          <w:b/>
          <w:bCs/>
          <w:color w:val="1A3A5C"/>
          <w:sz w:val="24"/>
          <w:szCs w:val="24"/>
        </w:rPr>
        <w:t xml:space="preserve">CONTEXTE ET JUSTIFICATION</w:t>
      </w:r>
    </w:p>
    <w:p>
      <w:pPr>
        <w:spacing w:after="60" w:before="60"/>
        <w:jc w:val="both"/>
      </w:pPr>
      <w:r>
        <w:rPr>
          <w:rFonts w:ascii="Arial" w:cs="Arial" w:eastAsia="Arial" w:hAnsi="Arial"/>
          <w:i w:val="false"/>
          <w:iCs w:val="false"/>
          <w:color w:val="1A1A1A"/>
          <w:sz w:val="22"/>
          <w:szCs w:val="22"/>
        </w:rPr>
        <w:t xml:space="preserve">La pharmacovigilance est le système de surveillance qui permet de détecter, évaluer et prévenir les effets indésirables des médicaments et des vaccins après leur mise sur le marché. En Belgique, ce système est géré par l'Agence Fédérale des Médicaments et des Produits de Santé (AFMPS), qui collecte les signalements et les transmet à la base européenne EudraVigilance.</w:t>
      </w:r>
    </w:p>
    <w:p>
      <w:pPr>
        <w:spacing w:after="0" w:before="60"/>
      </w:pPr>
      <w:r>
        <w:t xml:space="preserve"/>
      </w:r>
    </w:p>
    <w:p>
      <w:pPr>
        <w:spacing w:after="60" w:before="60"/>
        <w:jc w:val="both"/>
      </w:pPr>
      <w:r>
        <w:rPr>
          <w:rFonts w:ascii="Arial" w:cs="Arial" w:eastAsia="Arial" w:hAnsi="Arial"/>
          <w:i w:val="false"/>
          <w:iCs w:val="false"/>
          <w:color w:val="1A1A1A"/>
          <w:sz w:val="22"/>
          <w:szCs w:val="22"/>
        </w:rPr>
        <w:t xml:space="preserve">À ce jour, les données belges relatives aux effets indésirables signalés après vaccination COVID-19 ne sont pas disponibles en format ouvert et exploitable par le public et les chercheurs indépendants. Cette situation est incompatible avec les principes de transparence institutionnelle et constitue un obstacle à l'exercice du droit au consentement éclairé des citoyens.</w:t>
      </w:r>
    </w:p>
    <w:p>
      <w:pPr>
        <w:spacing w:after="0" w:before="60"/>
      </w:pPr>
      <w:r>
        <w:t xml:space="preserve"/>
      </w:r>
    </w:p>
    <w:p>
      <w:pPr>
        <w:spacing w:after="60" w:before="60"/>
        <w:jc w:val="both"/>
      </w:pPr>
      <w:r>
        <w:rPr>
          <w:rFonts w:ascii="Arial" w:cs="Arial" w:eastAsia="Arial" w:hAnsi="Arial"/>
          <w:i w:val="false"/>
          <w:iCs w:val="false"/>
          <w:color w:val="1A1A1A"/>
          <w:sz w:val="22"/>
          <w:szCs w:val="22"/>
        </w:rPr>
        <w:t xml:space="preserve">Des rapports sénatoriaux officiels (rapport Johnson « Unmasked », Sénat américain, 29 avril 2026) et des analyses biostatistiques indépendantes (rapport Cotton V4, janvier 2025) documentent des signaux de sécurité significatifs insuffisamment communiqués aux autorités décisionnaires et au grand public. La présente pétition demande au Parlement belge de prendre les mesures nécessaires pour remédier à cette situation.</w:t>
      </w:r>
    </w:p>
    <w:p>
      <w:pPr>
        <w:spacing w:after="0" w:before="80"/>
      </w:pPr>
      <w:r>
        <w:t xml:space="preserve"/>
      </w:r>
    </w:p>
    <w:p>
      <w:pPr>
        <w:pBdr>
          <w:bottom w:val="single" w:color="CCCCCC" w:sz="2" w:space="1"/>
        </w:pBdr>
        <w:spacing w:after="80" w:before="80"/>
      </w:pPr>
    </w:p>
    <w:p>
      <w:pPr>
        <w:spacing w:after="0" w:before="80"/>
      </w:pPr>
      <w:r>
        <w:t xml:space="preserve"/>
      </w:r>
    </w:p>
    <w:p>
      <w:pPr>
        <w:pBdr>
          <w:bottom w:val="single" w:color="B8860B" w:sz="4" w:space="1"/>
        </w:pBdr>
        <w:spacing w:after="100" w:before="280"/>
      </w:pPr>
      <w:r>
        <w:rPr>
          <w:rFonts w:ascii="Arial" w:cs="Arial" w:eastAsia="Arial" w:hAnsi="Arial"/>
          <w:b/>
          <w:bCs/>
          <w:color w:val="1A3A5C"/>
          <w:sz w:val="24"/>
          <w:szCs w:val="24"/>
        </w:rPr>
        <w:t xml:space="preserve">LES CINQ DEMANDES</w:t>
      </w:r>
    </w:p>
    <w:p>
      <w:pPr>
        <w:spacing w:after="0" w:before="40"/>
      </w:pPr>
      <w:r>
        <w:t xml:space="preserve"/>
      </w:r>
    </w:p>
    <w:p>
      <w:pPr>
        <w:spacing w:after="80" w:before="80"/>
        <w:ind w:left="360"/>
      </w:pPr>
      <w:r>
        <w:rPr>
          <w:rFonts w:ascii="Arial" w:cs="Arial" w:eastAsia="Arial" w:hAnsi="Arial"/>
          <w:b/>
          <w:bCs/>
          <w:color w:val="B8860B"/>
          <w:sz w:val="22"/>
          <w:szCs w:val="22"/>
        </w:rPr>
        <w:t xml:space="preserve">1.  </w:t>
      </w:r>
      <w:r>
        <w:rPr>
          <w:rFonts w:ascii="Arial" w:cs="Arial" w:eastAsia="Arial" w:hAnsi="Arial"/>
          <w:color w:val="1A1A1A"/>
          <w:sz w:val="22"/>
          <w:szCs w:val="22"/>
        </w:rPr>
        <w:t xml:space="preserve">Publication en open data de l'ensemble des rapports d'effets indésirables COVID-19 reçus par l'AFMPS depuis décembre 2020, dans un format exploitable (CSV ou JSON), ventilés par vaccin, par type d'effet, par groupe d'âge et par sexe.</w:t>
      </w:r>
    </w:p>
    <w:p>
      <w:pPr>
        <w:spacing w:after="80" w:before="80"/>
        <w:ind w:left="360"/>
      </w:pPr>
      <w:r>
        <w:rPr>
          <w:rFonts w:ascii="Arial" w:cs="Arial" w:eastAsia="Arial" w:hAnsi="Arial"/>
          <w:b/>
          <w:bCs/>
          <w:color w:val="B8860B"/>
          <w:sz w:val="22"/>
          <w:szCs w:val="22"/>
        </w:rPr>
        <w:t xml:space="preserve">2.  </w:t>
      </w:r>
      <w:r>
        <w:rPr>
          <w:rFonts w:ascii="Arial" w:cs="Arial" w:eastAsia="Arial" w:hAnsi="Arial"/>
          <w:color w:val="1A1A1A"/>
          <w:sz w:val="22"/>
          <w:szCs w:val="22"/>
        </w:rPr>
        <w:t xml:space="preserve">Création d'une commission parlementaire indépendante d'évaluation de la pharmacovigilance vaccinale belge, incluant des experts sans lien financier avec les titulaires d'autorisation de mise sur le marché.</w:t>
      </w:r>
    </w:p>
    <w:p>
      <w:pPr>
        <w:spacing w:after="80" w:before="80"/>
        <w:ind w:left="360"/>
      </w:pPr>
      <w:r>
        <w:rPr>
          <w:rFonts w:ascii="Arial" w:cs="Arial" w:eastAsia="Arial" w:hAnsi="Arial"/>
          <w:b/>
          <w:bCs/>
          <w:color w:val="B8860B"/>
          <w:sz w:val="22"/>
          <w:szCs w:val="22"/>
        </w:rPr>
        <w:t xml:space="preserve">3.  </w:t>
      </w:r>
      <w:r>
        <w:rPr>
          <w:rFonts w:ascii="Arial" w:cs="Arial" w:eastAsia="Arial" w:hAnsi="Arial"/>
          <w:color w:val="1A1A1A"/>
          <w:sz w:val="22"/>
          <w:szCs w:val="22"/>
        </w:rPr>
        <w:t xml:space="preserve">Audition publique de représentants de l'AFMPS et de l'EMA devant la commission compétente de la Chambre des représentants, portant sur les signaux identifiés dans les rapports PSUR des vaccins COVID-19 à ARNm.</w:t>
      </w:r>
    </w:p>
    <w:p>
      <w:pPr>
        <w:spacing w:after="80" w:before="80"/>
        <w:ind w:left="360"/>
      </w:pPr>
      <w:r>
        <w:rPr>
          <w:rFonts w:ascii="Arial" w:cs="Arial" w:eastAsia="Arial" w:hAnsi="Arial"/>
          <w:b/>
          <w:bCs/>
          <w:color w:val="B8860B"/>
          <w:sz w:val="22"/>
          <w:szCs w:val="22"/>
        </w:rPr>
        <w:t xml:space="preserve">4.  </w:t>
      </w:r>
      <w:r>
        <w:rPr>
          <w:rFonts w:ascii="Arial" w:cs="Arial" w:eastAsia="Arial" w:hAnsi="Arial"/>
          <w:color w:val="1A1A1A"/>
          <w:sz w:val="22"/>
          <w:szCs w:val="22"/>
        </w:rPr>
        <w:t xml:space="preserve">Examen, par le Parlement belge, des conditions dans lesquelles les contrats d'achat de vaccins COVID-19 ont été conclus par la Commission européenne, notamment à la lumière de l'arrêt T-647/22 du Tribunal de la CJUE (14 mai 2025).</w:t>
      </w:r>
    </w:p>
    <w:p>
      <w:pPr>
        <w:spacing w:after="80" w:before="80"/>
        <w:ind w:left="360"/>
      </w:pPr>
      <w:r>
        <w:rPr>
          <w:rFonts w:ascii="Arial" w:cs="Arial" w:eastAsia="Arial" w:hAnsi="Arial"/>
          <w:b/>
          <w:bCs/>
          <w:color w:val="B8860B"/>
          <w:sz w:val="22"/>
          <w:szCs w:val="22"/>
        </w:rPr>
        <w:t xml:space="preserve">5.  </w:t>
      </w:r>
      <w:r>
        <w:rPr>
          <w:rFonts w:ascii="Arial" w:cs="Arial" w:eastAsia="Arial" w:hAnsi="Arial"/>
          <w:color w:val="1A1A1A"/>
          <w:sz w:val="22"/>
          <w:szCs w:val="22"/>
        </w:rPr>
        <w:t xml:space="preserve">Renforcement du cadre légal belge de la pharmacovigilance active, afin de garantir l'indépendance structurelle des évaluateurs par rapport aux titulaires d'AMM et l'obligation de publication des données dans un délai maximal de 6 mois après chaque période de rapport.</w:t>
      </w:r>
    </w:p>
    <w:p>
      <w:pPr>
        <w:spacing w:after="0" w:before="80"/>
      </w:pPr>
      <w:r>
        <w:t xml:space="preserve"/>
      </w:r>
    </w:p>
    <w:p>
      <w:pPr>
        <w:pBdr>
          <w:bottom w:val="single" w:color="CCCCCC" w:sz="2" w:space="1"/>
        </w:pBdr>
        <w:spacing w:after="80" w:before="80"/>
      </w:pPr>
    </w:p>
    <w:p>
      <w:pPr>
        <w:spacing w:after="0" w:before="80"/>
      </w:pPr>
      <w:r>
        <w:t xml:space="preserve"/>
      </w:r>
    </w:p>
    <w:p>
      <w:pPr>
        <w:pBdr>
          <w:bottom w:val="single" w:color="B8860B" w:sz="4" w:space="1"/>
        </w:pBdr>
        <w:spacing w:after="100" w:before="280"/>
      </w:pPr>
      <w:r>
        <w:rPr>
          <w:rFonts w:ascii="Arial" w:cs="Arial" w:eastAsia="Arial" w:hAnsi="Arial"/>
          <w:b/>
          <w:bCs/>
          <w:color w:val="1A3A5C"/>
          <w:sz w:val="24"/>
          <w:szCs w:val="24"/>
        </w:rPr>
        <w:t xml:space="preserve">FONDEMENTS JURIDIQUES</w:t>
      </w:r>
    </w:p>
    <w:p>
      <w:pPr>
        <w:spacing w:after="60" w:before="60"/>
        <w:jc w:val="both"/>
      </w:pPr>
      <w:r>
        <w:rPr>
          <w:rFonts w:ascii="Arial" w:cs="Arial" w:eastAsia="Arial" w:hAnsi="Arial"/>
          <w:i w:val="false"/>
          <w:iCs w:val="false"/>
          <w:color w:val="1A1A1A"/>
          <w:sz w:val="22"/>
          <w:szCs w:val="22"/>
        </w:rPr>
        <w:t xml:space="preserve">• Article 28 de la Constitution belge : « Chacun a le droit d'adresser aux autorités publiques des pétitions signées par une ou plusieurs personnes. »</w:t>
      </w:r>
    </w:p>
    <w:p>
      <w:pPr>
        <w:spacing w:after="60" w:before="60"/>
        <w:jc w:val="both"/>
      </w:pPr>
      <w:r>
        <w:rPr>
          <w:rFonts w:ascii="Arial" w:cs="Arial" w:eastAsia="Arial" w:hAnsi="Arial"/>
          <w:i w:val="false"/>
          <w:iCs w:val="false"/>
          <w:color w:val="1A1A1A"/>
          <w:sz w:val="22"/>
          <w:szCs w:val="22"/>
        </w:rPr>
        <w:t xml:space="preserve">• Loi du 2 mai 2019 relative à la Chambre des représentants (organisant le droit de pétition).</w:t>
      </w:r>
    </w:p>
    <w:p>
      <w:pPr>
        <w:spacing w:after="60" w:before="60"/>
        <w:jc w:val="both"/>
      </w:pPr>
      <w:r>
        <w:rPr>
          <w:rFonts w:ascii="Arial" w:cs="Arial" w:eastAsia="Arial" w:hAnsi="Arial"/>
          <w:i w:val="false"/>
          <w:iCs w:val="false"/>
          <w:color w:val="1A1A1A"/>
          <w:sz w:val="22"/>
          <w:szCs w:val="22"/>
        </w:rPr>
        <w:t xml:space="preserve">• Article 142 du Règlement de la Chambre des représentants : au-delà de 1 000 signatures de citoyens belges, la pétition est inscrite à l'ordre du jour d'une commission compétente.</w:t>
      </w:r>
    </w:p>
    <w:p>
      <w:pPr>
        <w:spacing w:after="60" w:before="60"/>
        <w:jc w:val="both"/>
      </w:pPr>
      <w:r>
        <w:rPr>
          <w:rFonts w:ascii="Arial" w:cs="Arial" w:eastAsia="Arial" w:hAnsi="Arial"/>
          <w:i w:val="false"/>
          <w:iCs w:val="false"/>
          <w:color w:val="1A1A1A"/>
          <w:sz w:val="22"/>
          <w:szCs w:val="22"/>
        </w:rPr>
        <w:t xml:space="preserve">• Règlement (UE) N° 726/2004, article 57 : obligation de transparence de l'EMA et des autorités nationales compétentes.</w:t>
      </w:r>
    </w:p>
    <w:p>
      <w:pPr>
        <w:spacing w:after="60" w:before="60"/>
        <w:jc w:val="both"/>
      </w:pPr>
      <w:r>
        <w:rPr>
          <w:rFonts w:ascii="Arial" w:cs="Arial" w:eastAsia="Arial" w:hAnsi="Arial"/>
          <w:i w:val="false"/>
          <w:iCs w:val="false"/>
          <w:color w:val="1A1A1A"/>
          <w:sz w:val="22"/>
          <w:szCs w:val="22"/>
        </w:rPr>
        <w:t xml:space="preserve">• Règlement général sur la protection des données (RGPD) 2016/679 : les signataires exercent leurs droits conformément à la politique de confidentialité disponible sur ledroitdesfaits.org/confidentialite.</w:t>
      </w:r>
    </w:p>
    <w:p>
      <w:pPr>
        <w:spacing w:after="0" w:before="80"/>
      </w:pPr>
      <w:r>
        <w:t xml:space="preserve"/>
      </w:r>
    </w:p>
    <w:p>
      <w:pPr>
        <w:pBdr>
          <w:bottom w:val="single" w:color="C9A84C" w:sz="6" w:space="1"/>
        </w:pBdr>
        <w:spacing w:after="80" w:before="80"/>
      </w:pPr>
    </w:p>
    <w:p>
      <w:pPr>
        <w:spacing w:after="0" w:before="80"/>
      </w:pPr>
      <w:r>
        <w:t xml:space="preserve"/>
      </w:r>
    </w:p>
    <w:p>
      <w:pPr>
        <w:spacing w:after="40" w:before="0"/>
        <w:jc w:val="center"/>
      </w:pPr>
      <w:r>
        <w:rPr>
          <w:rFonts w:ascii="Arial" w:cs="Arial" w:eastAsia="Arial" w:hAnsi="Arial"/>
          <w:b/>
          <w:bCs/>
          <w:caps/>
          <w:color w:val="1A3A5C"/>
          <w:sz w:val="26"/>
          <w:szCs w:val="26"/>
        </w:rPr>
        <w:t xml:space="preserve">FORMULAIRE DE SIGNATURE</w:t>
      </w:r>
    </w:p>
    <w:p>
      <w:pPr>
        <w:spacing w:after="120" w:before="0"/>
        <w:jc w:val="center"/>
      </w:pPr>
      <w:r>
        <w:rPr>
          <w:rFonts w:ascii="Arial" w:cs="Arial" w:eastAsia="Arial" w:hAnsi="Arial"/>
          <w:i/>
          <w:iCs/>
          <w:color w:val="555555"/>
          <w:sz w:val="18"/>
          <w:szCs w:val="18"/>
        </w:rPr>
        <w:t xml:space="preserve">À remettre complété et signé à : contact@ledroitdesfaits.org  ou par courrier postal (adresse sur demande)</w:t>
      </w:r>
    </w:p>
    <w:p>
      <w:pPr>
        <w:spacing w:after="30" w:before="140"/>
      </w:pPr>
      <w:r>
        <w:rPr>
          <w:rFonts w:ascii="Arial" w:cs="Arial" w:eastAsia="Arial" w:hAnsi="Arial"/>
          <w:b/>
          <w:bCs/>
          <w:color w:val="555555"/>
          <w:sz w:val="20"/>
          <w:szCs w:val="20"/>
        </w:rPr>
        <w:t xml:space="preserve">NOM DE FAMILLE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
            </w:r>
          </w:p>
        </w:tc>
      </w:tr>
    </w:tbl>
    <w:p>
      <w:pPr>
        <w:spacing w:after="0" w:before="60"/>
      </w:pPr>
      <w:r>
        <w:t xml:space="preserve"/>
      </w:r>
    </w:p>
    <w:p>
      <w:pPr>
        <w:spacing w:after="30" w:before="140"/>
      </w:pPr>
      <w:r>
        <w:rPr>
          <w:rFonts w:ascii="Arial" w:cs="Arial" w:eastAsia="Arial" w:hAnsi="Arial"/>
          <w:b/>
          <w:bCs/>
          <w:color w:val="555555"/>
          <w:sz w:val="20"/>
          <w:szCs w:val="20"/>
        </w:rPr>
        <w:t xml:space="preserve">PRÉNOM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
            </w:r>
          </w:p>
        </w:tc>
      </w:tr>
    </w:tbl>
    <w:p>
      <w:pPr>
        <w:spacing w:after="0" w:before="60"/>
      </w:pPr>
      <w:r>
        <w:t xml:space="preserve"/>
      </w:r>
    </w:p>
    <w:p>
      <w:pPr>
        <w:spacing w:after="30" w:before="140"/>
      </w:pPr>
      <w:r>
        <w:rPr>
          <w:rFonts w:ascii="Arial" w:cs="Arial" w:eastAsia="Arial" w:hAnsi="Arial"/>
          <w:b/>
          <w:bCs/>
          <w:color w:val="555555"/>
          <w:sz w:val="20"/>
          <w:szCs w:val="20"/>
        </w:rPr>
        <w:t xml:space="preserve">ADRESSE COMPLÈTE (Rue, numéro, code postal, commune)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Rue et numéro</w:t>
            </w:r>
          </w:p>
        </w:tc>
      </w:tr>
    </w:tbl>
    <w:p>
      <w:pPr>
        <w:spacing w:after="0" w:before="3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Code postal et commune</w:t>
            </w:r>
          </w:p>
        </w:tc>
      </w:tr>
    </w:tbl>
    <w:p>
      <w:pPr>
        <w:spacing w:after="0" w:before="60"/>
      </w:pPr>
      <w:r>
        <w:t xml:space="preserve"/>
      </w:r>
    </w:p>
    <w:p>
      <w:pPr>
        <w:spacing w:after="30" w:before="140"/>
      </w:pPr>
      <w:r>
        <w:rPr>
          <w:rFonts w:ascii="Arial" w:cs="Arial" w:eastAsia="Arial" w:hAnsi="Arial"/>
          <w:b/>
          <w:bCs/>
          <w:color w:val="555555"/>
          <w:sz w:val="20"/>
          <w:szCs w:val="20"/>
        </w:rPr>
        <w:t xml:space="preserve">PAYS DE RÉSIDENCE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
            </w:r>
          </w:p>
        </w:tc>
      </w:tr>
    </w:tbl>
    <w:p>
      <w:pPr>
        <w:spacing w:after="0" w:before="60"/>
      </w:pPr>
      <w:r>
        <w:t xml:space="preserve"/>
      </w:r>
    </w:p>
    <w:p>
      <w:pPr>
        <w:spacing w:after="30" w:before="140"/>
      </w:pPr>
      <w:r>
        <w:rPr>
          <w:rFonts w:ascii="Arial" w:cs="Arial" w:eastAsia="Arial" w:hAnsi="Arial"/>
          <w:b/>
          <w:bCs/>
          <w:color w:val="555555"/>
          <w:sz w:val="20"/>
          <w:szCs w:val="20"/>
        </w:rPr>
        <w:t xml:space="preserve">EMAIL (optionnel — pour être informé des résultats)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
            </w:r>
          </w:p>
        </w:tc>
      </w:tr>
    </w:tbl>
    <w:p>
      <w:pPr>
        <w:spacing w:after="0" w:before="60"/>
      </w:pPr>
      <w:r>
        <w:t xml:space="preserve"/>
      </w:r>
    </w:p>
    <w:p>
      <w:pPr>
        <w:spacing w:after="30" w:before="140"/>
      </w:pPr>
      <w:r>
        <w:rPr>
          <w:rFonts w:ascii="Arial" w:cs="Arial" w:eastAsia="Arial" w:hAnsi="Arial"/>
          <w:b/>
          <w:bCs/>
          <w:color w:val="555555"/>
          <w:sz w:val="20"/>
          <w:szCs w:val="20"/>
        </w:rPr>
        <w:t xml:space="preserve">QUALITÉ / PROFESSION (optionnel — ex. : médecin, pharmacien, parent, citoyen)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999999" w:sz="4"/>
              <w:right w:val="none" w:color="FFFFFF" w:sz="0"/>
            </w:tcBorders>
            <w:shd w:fill="FFFFFF" w:val="clear"/>
            <w:tcMar>
              <w:top w:type="dxa" w:w="60"/>
              <w:left w:type="dxa" w:w="0"/>
              <w:bottom w:type="dxa" w:w="60"/>
              <w:right w:type="dxa" w:w="0"/>
            </w:tcMar>
          </w:tcPr>
          <w:p>
            <w:r>
              <w:rPr>
                <w:rFonts w:ascii="Arial" w:cs="Arial" w:eastAsia="Arial" w:hAnsi="Arial"/>
                <w:i/>
                <w:iCs/>
                <w:color w:val="BBBBBB"/>
                <w:sz w:val="20"/>
                <w:szCs w:val="20"/>
              </w:rPr>
              <w:t xml:space="preserve"/>
            </w:r>
          </w:p>
        </w:tc>
      </w:tr>
    </w:tbl>
    <w:p>
      <w:pPr>
        <w:spacing w:after="0" w:before="80"/>
      </w:pPr>
      <w:r>
        <w:t xml:space="preserve"/>
      </w:r>
    </w:p>
    <w:p>
      <w:pPr>
        <w:spacing w:after="40" w:before="80"/>
      </w:pPr>
      <w:r>
        <w:rPr>
          <w:rFonts w:ascii="Arial" w:cs="Arial" w:eastAsia="Arial" w:hAnsi="Arial"/>
          <w:b/>
          <w:bCs/>
          <w:sz w:val="22"/>
          <w:szCs w:val="22"/>
        </w:rPr>
        <w:t xml:space="preserve">☐  </w:t>
      </w:r>
      <w:r>
        <w:rPr>
          <w:rFonts w:ascii="Arial" w:cs="Arial" w:eastAsia="Arial" w:hAnsi="Arial"/>
          <w:color w:val="1A1A1A"/>
          <w:sz w:val="20"/>
          <w:szCs w:val="20"/>
        </w:rPr>
        <w:t xml:space="preserve">J'ai lu les cinq demandes de cette pétition et je les soutiens. Je comprends que mon nom, prénom et adresse seront transmis au Parlement belge conformément à l'Article 142 du Règlement de la Chambre des représentants.</w:t>
      </w:r>
    </w:p>
    <w:p>
      <w:pPr>
        <w:spacing w:after="0" w:before="40"/>
      </w:pPr>
      <w:r>
        <w:t xml:space="preserve"/>
      </w:r>
    </w:p>
    <w:p>
      <w:pPr>
        <w:spacing w:after="80" w:before="0"/>
      </w:pPr>
      <w:r>
        <w:rPr>
          <w:rFonts w:ascii="Arial" w:cs="Arial" w:eastAsia="Arial" w:hAnsi="Arial"/>
          <w:b/>
          <w:bCs/>
          <w:sz w:val="22"/>
          <w:szCs w:val="22"/>
        </w:rPr>
        <w:t xml:space="preserve">☐  </w:t>
      </w:r>
      <w:r>
        <w:rPr>
          <w:rFonts w:ascii="Arial" w:cs="Arial" w:eastAsia="Arial" w:hAnsi="Arial"/>
          <w:color w:val="1A1A1A"/>
          <w:sz w:val="20"/>
          <w:szCs w:val="20"/>
        </w:rPr>
        <w:t xml:space="preserve">J'accepte que mes données personnelles soient traitées conformément au RGPD aux seules fins de cette pétition, par Le Droit des Faits ASBL (en formation), responsable de traitement.</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none" w:color="FFFFFF" w:sz="0"/>
              <w:left w:val="none" w:color="FFFFFF" w:sz="0"/>
              <w:bottom w:val="none" w:color="FFFFFF" w:sz="0"/>
              <w:right w:val="none" w:color="FFFFFF" w:sz="0"/>
            </w:tcBorders>
            <w:shd w:fill="FFFFFF" w:val="clear"/>
            <w:tcMar>
              <w:top w:type="dxa" w:w="0"/>
              <w:left w:type="dxa" w:w="0"/>
              <w:bottom w:type="dxa" w:w="0"/>
              <w:right w:type="dxa" w:w="200"/>
            </w:tcMar>
          </w:tcPr>
          <w:p>
            <w:pPr>
              <w:spacing w:after="20" w:before="0"/>
            </w:pPr>
            <w:r>
              <w:rPr>
                <w:rFonts w:ascii="Arial" w:cs="Arial" w:eastAsia="Arial" w:hAnsi="Arial"/>
                <w:b/>
                <w:bCs/>
                <w:color w:val="555555"/>
                <w:sz w:val="20"/>
                <w:szCs w:val="20"/>
              </w:rPr>
              <w:t xml:space="preserve">SIGNATURE *</w:t>
            </w:r>
          </w:p>
          <w:p>
            <w:pPr>
              <w:pBdr>
                <w:bottom w:val="single" w:color="999999" w:sz="4"/>
              </w:pBdr>
              <w:spacing w:after="0" w:before="400"/>
            </w:pPr>
            <w:r>
              <w:t xml:space="preserve"/>
            </w:r>
          </w:p>
        </w:tc>
        <w:tc>
          <w:tcPr>
            <w:tcW w:type="dxa" w:w="4026"/>
            <w:tcBorders>
              <w:top w:val="none" w:color="FFFFFF" w:sz="0"/>
              <w:left w:val="none" w:color="FFFFFF" w:sz="0"/>
              <w:bottom w:val="none" w:color="FFFFFF" w:sz="0"/>
              <w:right w:val="none" w:color="FFFFFF" w:sz="0"/>
            </w:tcBorders>
            <w:shd w:fill="FFFFFF" w:val="clear"/>
            <w:tcMar>
              <w:top w:type="dxa" w:w="0"/>
              <w:left w:type="dxa" w:w="200"/>
              <w:bottom w:type="dxa" w:w="0"/>
              <w:right w:type="dxa" w:w="0"/>
            </w:tcMar>
          </w:tcPr>
          <w:p>
            <w:pPr>
              <w:spacing w:after="20" w:before="0"/>
            </w:pPr>
            <w:r>
              <w:rPr>
                <w:rFonts w:ascii="Arial" w:cs="Arial" w:eastAsia="Arial" w:hAnsi="Arial"/>
                <w:b/>
                <w:bCs/>
                <w:color w:val="555555"/>
                <w:sz w:val="20"/>
                <w:szCs w:val="20"/>
              </w:rPr>
              <w:t xml:space="preserve">DATE *</w:t>
            </w:r>
          </w:p>
          <w:p>
            <w:pPr>
              <w:pBdr>
                <w:bottom w:val="single" w:color="999999" w:sz="4"/>
              </w:pBdr>
              <w:spacing w:after="0" w:before="400"/>
            </w:pPr>
            <w:r>
              <w:t xml:space="preserve"/>
            </w:r>
          </w:p>
        </w:tc>
      </w:tr>
    </w:tbl>
    <w:p>
      <w:pPr>
        <w:spacing w:after="0" w:before="120"/>
      </w:pPr>
      <w:r>
        <w:t xml:space="preserve"/>
      </w:r>
    </w:p>
    <w:p>
      <w:pPr>
        <w:pBdr>
          <w:bottom w:val="single" w:color="C9A84C" w:sz="4" w:space="1"/>
        </w:pBdr>
        <w:spacing w:after="80" w:before="80"/>
      </w:pPr>
    </w:p>
    <w:p>
      <w:pPr>
        <w:spacing w:after="0" w:before="60"/>
      </w:pPr>
      <w:r>
        <w:t xml:space="preserve"/>
      </w:r>
    </w:p>
    <w:p>
      <w:pPr>
        <w:spacing w:after="30" w:before="0"/>
        <w:jc w:val="center"/>
      </w:pPr>
      <w:r>
        <w:rPr>
          <w:rFonts w:ascii="Arial" w:cs="Arial" w:eastAsia="Arial" w:hAnsi="Arial"/>
          <w:caps/>
          <w:color w:val="555555"/>
          <w:sz w:val="17"/>
          <w:szCs w:val="17"/>
        </w:rPr>
        <w:t xml:space="preserve">LE DROIT DES FAITS  ·  ASBL EN FORMATION  ·  AYWAILLE, PROVINCE DE LIÈGE, BELGIQUE</w:t>
      </w:r>
    </w:p>
    <w:p>
      <w:pPr>
        <w:spacing w:after="30" w:before="0"/>
        <w:jc w:val="center"/>
      </w:pPr>
      <w:r>
        <w:rPr>
          <w:rFonts w:ascii="Arial" w:cs="Arial" w:eastAsia="Arial" w:hAnsi="Arial"/>
          <w:color w:val="555555"/>
          <w:sz w:val="17"/>
          <w:szCs w:val="17"/>
        </w:rPr>
        <w:t xml:space="preserve">contact@ledroitdesfaits.org  ·  ledroitdesfaits.org</w:t>
      </w:r>
    </w:p>
    <w:p>
      <w:pPr>
        <w:spacing w:after="0" w:before="0"/>
        <w:jc w:val="center"/>
      </w:pPr>
      <w:r>
        <w:rPr>
          <w:rFonts w:ascii="Arial" w:cs="Arial" w:eastAsia="Arial" w:hAnsi="Arial"/>
          <w:i/>
          <w:iCs/>
          <w:color w:val="B8860B"/>
          <w:sz w:val="17"/>
          <w:szCs w:val="17"/>
        </w:rPr>
        <w:t xml:space="preserve">« Parce que les faits ont des droits.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2026-06-25T22:57:55.605Z</dcterms:created>
  <dcterms:modified xsi:type="dcterms:W3CDTF">2026-06-25T22:57:55.605Z</dcterms:modified>
</cp:coreProperties>
</file>

<file path=docProps/custom.xml><?xml version="1.0" encoding="utf-8"?>
<Properties xmlns="http://schemas.openxmlformats.org/officeDocument/2006/custom-properties" xmlns:vt="http://schemas.openxmlformats.org/officeDocument/2006/docPropsVTypes"/>
</file>